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47D6" w14:textId="17A4828C" w:rsidR="00E01812" w:rsidRDefault="00F93C99" w:rsidP="00F93C9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t>Vistorias de fiscalização de segurança contra incêndio em Alta Floresta tem continuidade em 2026</w:t>
      </w:r>
    </w:p>
    <w:p w14:paraId="37D36083" w14:textId="751F6F12" w:rsidR="00E01812" w:rsidRDefault="00E01812" w:rsidP="00E0181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01812">
        <w:rPr>
          <w:rFonts w:ascii="Arial" w:hAnsi="Arial" w:cs="Arial"/>
        </w:rPr>
        <w:t>O Corpo de Bombeiros Militar de Mato Grosso</w:t>
      </w:r>
      <w:r>
        <w:rPr>
          <w:rFonts w:ascii="Arial" w:hAnsi="Arial" w:cs="Arial"/>
        </w:rPr>
        <w:t>, por meio da sua unidade em Alta Floresta, 7ª Companhia Independente Bombeiro Militar,</w:t>
      </w:r>
      <w:r w:rsidRPr="00E01812">
        <w:rPr>
          <w:rFonts w:ascii="Arial" w:hAnsi="Arial" w:cs="Arial"/>
        </w:rPr>
        <w:t xml:space="preserve"> informa que</w:t>
      </w:r>
      <w:r>
        <w:rPr>
          <w:rFonts w:ascii="Arial" w:hAnsi="Arial" w:cs="Arial"/>
        </w:rPr>
        <w:t xml:space="preserve"> durante todo o ano de 2026</w:t>
      </w:r>
      <w:r w:rsidRPr="00E01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haverá</w:t>
      </w:r>
      <w:r w:rsidRPr="00E01812">
        <w:rPr>
          <w:rFonts w:ascii="Arial" w:hAnsi="Arial" w:cs="Arial"/>
        </w:rPr>
        <w:t xml:space="preserve"> continuidade </w:t>
      </w:r>
      <w:r>
        <w:rPr>
          <w:rFonts w:ascii="Arial" w:hAnsi="Arial" w:cs="Arial"/>
        </w:rPr>
        <w:t>das</w:t>
      </w:r>
      <w:r w:rsidRPr="00E01812">
        <w:rPr>
          <w:rFonts w:ascii="Arial" w:hAnsi="Arial" w:cs="Arial"/>
        </w:rPr>
        <w:t xml:space="preserve"> ações de fiscalização iniciadas no ano de 2025, voltadas à verificação das condições de segurança contra incêndio e pânico nas edificações comerciais e locais de risco situados</w:t>
      </w:r>
      <w:r>
        <w:rPr>
          <w:rFonts w:ascii="Arial" w:hAnsi="Arial" w:cs="Arial"/>
        </w:rPr>
        <w:t xml:space="preserve"> no município</w:t>
      </w:r>
      <w:r w:rsidRPr="00E01812">
        <w:rPr>
          <w:rFonts w:ascii="Arial" w:hAnsi="Arial" w:cs="Arial"/>
        </w:rPr>
        <w:t>.</w:t>
      </w:r>
    </w:p>
    <w:p w14:paraId="571D2A4B" w14:textId="47CB7E4C" w:rsidR="007024CE" w:rsidRDefault="007024CE" w:rsidP="00E0181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2025 foram feitas vistorias de fiscalização em edificações e locais de risco situados nas Avenidas Ludovico da Riva Neto e Ariosto da Riva Neto, quando foram emitidos um Termo de Notificação e o primeiro Termo de Advertência às ocupações com alguma irregularidade, trabalho este que terá continuidade neste ano</w:t>
      </w:r>
      <w:r w:rsidR="00B96116">
        <w:rPr>
          <w:rFonts w:ascii="Arial" w:hAnsi="Arial" w:cs="Arial"/>
        </w:rPr>
        <w:t xml:space="preserve"> nos demais locais da cidade</w:t>
      </w:r>
      <w:r>
        <w:rPr>
          <w:rFonts w:ascii="Arial" w:hAnsi="Arial" w:cs="Arial"/>
        </w:rPr>
        <w:t>.</w:t>
      </w:r>
    </w:p>
    <w:p w14:paraId="2E4DBF64" w14:textId="1897CDFC" w:rsidR="009D1F89" w:rsidRDefault="009D1F89" w:rsidP="00E0181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Importante mencionar as fases do ciclo fiscalizatório das vistorias, descrito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777"/>
        <w:gridCol w:w="3021"/>
      </w:tblGrid>
      <w:tr w:rsidR="004E68B8" w14:paraId="7F911B4C" w14:textId="77777777" w:rsidTr="006F43F5">
        <w:tc>
          <w:tcPr>
            <w:tcW w:w="2263" w:type="dxa"/>
          </w:tcPr>
          <w:p w14:paraId="75272685" w14:textId="05725494" w:rsidR="004E68B8" w:rsidRPr="0002374B" w:rsidRDefault="004E68B8" w:rsidP="006641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2374B">
              <w:rPr>
                <w:rFonts w:ascii="Arial" w:hAnsi="Arial" w:cs="Arial"/>
                <w:b/>
              </w:rPr>
              <w:t>ORDEM</w:t>
            </w:r>
          </w:p>
        </w:tc>
        <w:tc>
          <w:tcPr>
            <w:tcW w:w="3777" w:type="dxa"/>
          </w:tcPr>
          <w:p w14:paraId="79FDB0D4" w14:textId="3A1D810D" w:rsidR="004E68B8" w:rsidRPr="0002374B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02374B">
              <w:rPr>
                <w:rFonts w:ascii="Arial" w:hAnsi="Arial" w:cs="Arial"/>
                <w:b/>
              </w:rPr>
              <w:t>LOCAIS COM ALGUMA IRREGULARIDADE</w:t>
            </w:r>
          </w:p>
        </w:tc>
        <w:tc>
          <w:tcPr>
            <w:tcW w:w="3021" w:type="dxa"/>
          </w:tcPr>
          <w:p w14:paraId="1475A03E" w14:textId="2DD35796" w:rsidR="004E68B8" w:rsidRPr="0002374B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02374B">
              <w:rPr>
                <w:rFonts w:ascii="Arial" w:hAnsi="Arial" w:cs="Arial"/>
                <w:b/>
              </w:rPr>
              <w:t xml:space="preserve">PRAZO DE REGULARIZAÇÃO EM CADA FASE </w:t>
            </w:r>
          </w:p>
        </w:tc>
      </w:tr>
      <w:tr w:rsidR="004E68B8" w14:paraId="56D13711" w14:textId="77777777" w:rsidTr="006F43F5">
        <w:tc>
          <w:tcPr>
            <w:tcW w:w="2263" w:type="dxa"/>
          </w:tcPr>
          <w:p w14:paraId="7CD13C53" w14:textId="42272977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1ª Vistoria de Fiscalização</w:t>
            </w:r>
          </w:p>
        </w:tc>
        <w:tc>
          <w:tcPr>
            <w:tcW w:w="3777" w:type="dxa"/>
          </w:tcPr>
          <w:p w14:paraId="48E696C3" w14:textId="77777777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Termo de Notificação</w:t>
            </w:r>
          </w:p>
          <w:p w14:paraId="2D07E4C8" w14:textId="77777777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Termo de Advertência</w:t>
            </w:r>
          </w:p>
          <w:p w14:paraId="020436F7" w14:textId="5EFB816F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Suspensão do Alvará caso houver</w:t>
            </w:r>
          </w:p>
        </w:tc>
        <w:tc>
          <w:tcPr>
            <w:tcW w:w="3021" w:type="dxa"/>
          </w:tcPr>
          <w:p w14:paraId="76BD4A1D" w14:textId="41165BC7" w:rsidR="004E68B8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dias</w:t>
            </w:r>
          </w:p>
        </w:tc>
      </w:tr>
      <w:tr w:rsidR="004E68B8" w14:paraId="50EE935F" w14:textId="77777777" w:rsidTr="006F43F5">
        <w:tc>
          <w:tcPr>
            <w:tcW w:w="2263" w:type="dxa"/>
          </w:tcPr>
          <w:p w14:paraId="333A73BF" w14:textId="736E890D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 Vistoria de Fiscalização</w:t>
            </w:r>
          </w:p>
        </w:tc>
        <w:tc>
          <w:tcPr>
            <w:tcW w:w="3777" w:type="dxa"/>
          </w:tcPr>
          <w:p w14:paraId="31173BB1" w14:textId="77777777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Termo de Advertência</w:t>
            </w:r>
          </w:p>
          <w:p w14:paraId="5733E2ED" w14:textId="77777777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Termo de Multa</w:t>
            </w:r>
          </w:p>
          <w:p w14:paraId="647747CB" w14:textId="5D797A37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Cassação do Alvará caso houver</w:t>
            </w:r>
          </w:p>
        </w:tc>
        <w:tc>
          <w:tcPr>
            <w:tcW w:w="3021" w:type="dxa"/>
          </w:tcPr>
          <w:p w14:paraId="4F0A15AE" w14:textId="20430A73" w:rsidR="004E68B8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dias</w:t>
            </w:r>
          </w:p>
        </w:tc>
      </w:tr>
      <w:tr w:rsidR="004E68B8" w14:paraId="04F93D84" w14:textId="77777777" w:rsidTr="006F43F5">
        <w:tc>
          <w:tcPr>
            <w:tcW w:w="2263" w:type="dxa"/>
          </w:tcPr>
          <w:p w14:paraId="6B987136" w14:textId="4B566B97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 Vistoria de Fiscalização</w:t>
            </w:r>
          </w:p>
        </w:tc>
        <w:tc>
          <w:tcPr>
            <w:tcW w:w="3777" w:type="dxa"/>
          </w:tcPr>
          <w:p w14:paraId="7EA6E8F0" w14:textId="09733C3F" w:rsidR="004E68B8" w:rsidRDefault="004E68B8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Termo de Advertência</w:t>
            </w:r>
          </w:p>
          <w:p w14:paraId="523C0C51" w14:textId="62F71FDD" w:rsidR="004E68B8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E68B8">
              <w:rPr>
                <w:rFonts w:ascii="Arial" w:hAnsi="Arial" w:cs="Arial"/>
              </w:rPr>
              <w:t>º Termo de Multa</w:t>
            </w:r>
            <w:r>
              <w:rPr>
                <w:rFonts w:ascii="Arial" w:hAnsi="Arial" w:cs="Arial"/>
              </w:rPr>
              <w:t xml:space="preserve"> (dobro do valor da 1ª</w:t>
            </w:r>
            <w:r w:rsidR="006F43F5">
              <w:rPr>
                <w:rFonts w:ascii="Arial" w:hAnsi="Arial" w:cs="Arial"/>
              </w:rPr>
              <w:t xml:space="preserve"> multa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21" w:type="dxa"/>
          </w:tcPr>
          <w:p w14:paraId="64B16840" w14:textId="0462603B" w:rsidR="004E68B8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dias</w:t>
            </w:r>
          </w:p>
        </w:tc>
      </w:tr>
      <w:tr w:rsidR="00991A0C" w14:paraId="6220FF47" w14:textId="77777777" w:rsidTr="006F43F5">
        <w:tc>
          <w:tcPr>
            <w:tcW w:w="2263" w:type="dxa"/>
          </w:tcPr>
          <w:p w14:paraId="04817E4E" w14:textId="2C4878E2" w:rsidR="00991A0C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 Vistoria de Fiscalização</w:t>
            </w:r>
          </w:p>
        </w:tc>
        <w:tc>
          <w:tcPr>
            <w:tcW w:w="3777" w:type="dxa"/>
          </w:tcPr>
          <w:p w14:paraId="76D730B4" w14:textId="37E177BF" w:rsidR="00991A0C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Interdição do estabelecimento</w:t>
            </w:r>
          </w:p>
        </w:tc>
        <w:tc>
          <w:tcPr>
            <w:tcW w:w="3021" w:type="dxa"/>
          </w:tcPr>
          <w:p w14:paraId="38745656" w14:textId="77777777" w:rsidR="00991A0C" w:rsidRDefault="00991A0C" w:rsidP="00023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</w:tbl>
    <w:p w14:paraId="7397CA9F" w14:textId="77777777" w:rsidR="0002374B" w:rsidRDefault="0002374B" w:rsidP="0002374B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pt-BR"/>
          <w14:ligatures w14:val="none"/>
        </w:rPr>
      </w:pPr>
    </w:p>
    <w:p w14:paraId="1899142D" w14:textId="4AA34987" w:rsidR="00DC0803" w:rsidRPr="00DC0803" w:rsidRDefault="00DC0803" w:rsidP="0002374B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pt-BR"/>
          <w14:ligatures w14:val="none"/>
        </w:rPr>
      </w:pPr>
      <w:r w:rsidRPr="00DC0803">
        <w:rPr>
          <w:rFonts w:eastAsia="Times New Roman"/>
          <w:color w:val="auto"/>
          <w:lang w:eastAsia="pt-BR"/>
          <w14:ligatures w14:val="none"/>
        </w:rPr>
        <w:t>Destaca-se que todos os prazos acima podem ser prorrogados, sendo de forma sumária ou mediante celebração de Termo de Ajustamento de Conduta (TAC). Os pedidos de prorrogação de prazo</w:t>
      </w:r>
      <w:r w:rsidR="006F43F5">
        <w:rPr>
          <w:rFonts w:eastAsia="Times New Roman"/>
          <w:color w:val="auto"/>
          <w:lang w:eastAsia="pt-BR"/>
          <w14:ligatures w14:val="none"/>
        </w:rPr>
        <w:t>, tanto na modalidade sumária ou por meio de TAC,</w:t>
      </w:r>
      <w:r w:rsidRPr="00DC0803">
        <w:rPr>
          <w:rFonts w:eastAsia="Times New Roman"/>
          <w:color w:val="auto"/>
          <w:lang w:eastAsia="pt-BR"/>
          <w14:ligatures w14:val="none"/>
        </w:rPr>
        <w:t xml:space="preserve"> deverão ser protocolizados antes do término do prazo estipulado em Advertência. </w:t>
      </w:r>
    </w:p>
    <w:p w14:paraId="432A49D2" w14:textId="47586210" w:rsidR="00E01812" w:rsidRDefault="00E01812" w:rsidP="009039E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01812">
        <w:rPr>
          <w:rFonts w:ascii="Arial" w:hAnsi="Arial" w:cs="Arial"/>
        </w:rPr>
        <w:lastRenderedPageBreak/>
        <w:t>A</w:t>
      </w:r>
      <w:r w:rsidR="009039EC">
        <w:rPr>
          <w:rFonts w:ascii="Arial" w:hAnsi="Arial" w:cs="Arial"/>
        </w:rPr>
        <w:t>s</w:t>
      </w:r>
      <w:r w:rsidRPr="00E01812">
        <w:rPr>
          <w:rFonts w:ascii="Arial" w:hAnsi="Arial" w:cs="Arial"/>
        </w:rPr>
        <w:t xml:space="preserve"> aç</w:t>
      </w:r>
      <w:r w:rsidR="009039EC">
        <w:rPr>
          <w:rFonts w:ascii="Arial" w:hAnsi="Arial" w:cs="Arial"/>
        </w:rPr>
        <w:t>ões</w:t>
      </w:r>
      <w:r w:rsidRPr="00E01812">
        <w:rPr>
          <w:rFonts w:ascii="Arial" w:hAnsi="Arial" w:cs="Arial"/>
        </w:rPr>
        <w:t xml:space="preserve"> tem como fundamento a Lei Estadual nº 12.149/2023</w:t>
      </w:r>
      <w:r w:rsidR="009039EC">
        <w:rPr>
          <w:rFonts w:ascii="Arial" w:hAnsi="Arial" w:cs="Arial"/>
        </w:rPr>
        <w:t xml:space="preserve"> (Dispõe sobre a segurança contra incêndio e pânico no Estado de Mato Grosso), </w:t>
      </w:r>
      <w:r w:rsidRPr="00E01812">
        <w:rPr>
          <w:rFonts w:ascii="Arial" w:hAnsi="Arial" w:cs="Arial"/>
        </w:rPr>
        <w:t>Decreto nº 628/2023</w:t>
      </w:r>
      <w:r w:rsidR="009039EC">
        <w:rPr>
          <w:rFonts w:ascii="Arial" w:hAnsi="Arial" w:cs="Arial"/>
        </w:rPr>
        <w:t xml:space="preserve"> (Regulamenta o exercício de fiscalização pelo CBM/MT)</w:t>
      </w:r>
      <w:r w:rsidRPr="00E01812">
        <w:rPr>
          <w:rFonts w:ascii="Arial" w:hAnsi="Arial" w:cs="Arial"/>
        </w:rPr>
        <w:t xml:space="preserve">, </w:t>
      </w:r>
      <w:r w:rsidR="009039EC">
        <w:rPr>
          <w:rFonts w:ascii="Arial" w:hAnsi="Arial" w:cs="Arial"/>
        </w:rPr>
        <w:t xml:space="preserve">e a Norma Técnica nº 002/2025 (Procedimentos de fiscalização e vistoria), sendo este o conjunto normativo específico que dispõe sobre </w:t>
      </w:r>
      <w:r w:rsidRPr="00E01812">
        <w:rPr>
          <w:rFonts w:ascii="Arial" w:hAnsi="Arial" w:cs="Arial"/>
        </w:rPr>
        <w:t>o exercício do poder de polícia administrativa da Corporação.</w:t>
      </w:r>
    </w:p>
    <w:p w14:paraId="45C6943B" w14:textId="77777777" w:rsidR="008B1409" w:rsidRPr="00B36597" w:rsidRDefault="008B1409" w:rsidP="0002374B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B36597">
        <w:rPr>
          <w:rFonts w:ascii="Arial" w:hAnsi="Arial" w:cs="Arial"/>
        </w:rPr>
        <w:t>A prevenção de incêndios possui finalidade primordial: a proteção da vida humana. Entre os principais objetivos das normas de segurança contra incêndio estão:</w:t>
      </w:r>
    </w:p>
    <w:p w14:paraId="6E31798B" w14:textId="77777777" w:rsidR="008B1409" w:rsidRPr="00B36597" w:rsidRDefault="008B1409" w:rsidP="00B36597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36597">
        <w:rPr>
          <w:rFonts w:ascii="Arial" w:hAnsi="Arial" w:cs="Arial"/>
        </w:rPr>
        <w:t>Proteger os ocupantes das edificações em caso de incêndio;</w:t>
      </w:r>
    </w:p>
    <w:p w14:paraId="7B10A8BA" w14:textId="77777777" w:rsidR="008B1409" w:rsidRPr="00B36597" w:rsidRDefault="008B1409" w:rsidP="00B36597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36597">
        <w:rPr>
          <w:rFonts w:ascii="Arial" w:hAnsi="Arial" w:cs="Arial"/>
        </w:rPr>
        <w:t>Dificultar a propagação do fogo;</w:t>
      </w:r>
    </w:p>
    <w:p w14:paraId="4925E2AD" w14:textId="77777777" w:rsidR="008B1409" w:rsidRPr="00B36597" w:rsidRDefault="008B1409" w:rsidP="00B36597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36597">
        <w:rPr>
          <w:rFonts w:ascii="Arial" w:hAnsi="Arial" w:cs="Arial"/>
        </w:rPr>
        <w:t>Reduzir danos ao meio ambiente e ao patrimônio;</w:t>
      </w:r>
    </w:p>
    <w:p w14:paraId="4D75F178" w14:textId="77777777" w:rsidR="008B1409" w:rsidRPr="00B36597" w:rsidRDefault="008B1409" w:rsidP="00B36597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36597">
        <w:rPr>
          <w:rFonts w:ascii="Arial" w:hAnsi="Arial" w:cs="Arial"/>
        </w:rPr>
        <w:t>Garantir meios adequados de combate ao incêndio;</w:t>
      </w:r>
    </w:p>
    <w:p w14:paraId="24B6E617" w14:textId="66D20D7D" w:rsidR="008B1409" w:rsidRPr="00B36597" w:rsidRDefault="008B1409" w:rsidP="00B36597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36597">
        <w:rPr>
          <w:rFonts w:ascii="Arial" w:hAnsi="Arial" w:cs="Arial"/>
        </w:rPr>
        <w:t>Assegurar condições de acesso às equipes de socorro.</w:t>
      </w:r>
    </w:p>
    <w:p w14:paraId="485EDB06" w14:textId="2B548F55" w:rsidR="00E01812" w:rsidRPr="00E01812" w:rsidRDefault="00E01812" w:rsidP="00B36597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01812">
        <w:rPr>
          <w:rFonts w:ascii="Arial" w:hAnsi="Arial" w:cs="Arial"/>
        </w:rPr>
        <w:t>Após fase inicial orientativa, com emissão de Notificações e 1º Termo de Advertência, as edificações que não promover</w:t>
      </w:r>
      <w:r w:rsidR="00B36597">
        <w:rPr>
          <w:rFonts w:ascii="Arial" w:hAnsi="Arial" w:cs="Arial"/>
        </w:rPr>
        <w:t>e</w:t>
      </w:r>
      <w:r w:rsidRPr="00E01812">
        <w:rPr>
          <w:rFonts w:ascii="Arial" w:hAnsi="Arial" w:cs="Arial"/>
        </w:rPr>
        <w:t>m sua regularização poderão ser submetidas à nova fiscalização, com possibilidade de aplicação de multa, conforme previsto na legislação vigente.</w:t>
      </w:r>
    </w:p>
    <w:p w14:paraId="4CFA8634" w14:textId="15206C81" w:rsidR="00B36597" w:rsidRPr="00B36597" w:rsidRDefault="00B36597" w:rsidP="00B36597">
      <w:pPr>
        <w:pStyle w:val="NormalWeb"/>
        <w:spacing w:line="360" w:lineRule="auto"/>
        <w:jc w:val="both"/>
        <w:rPr>
          <w:rFonts w:ascii="Arial" w:hAnsi="Arial" w:cs="Arial"/>
        </w:rPr>
      </w:pPr>
      <w:r w:rsidRPr="00B36597">
        <w:rPr>
          <w:rFonts w:ascii="Arial" w:hAnsi="Arial" w:cs="Arial"/>
        </w:rPr>
        <w:tab/>
        <w:t>O Corpo de Bombeiros reforça que a fiscalização possui caráter ma</w:t>
      </w:r>
      <w:r w:rsidR="0002374B">
        <w:rPr>
          <w:rFonts w:ascii="Arial" w:hAnsi="Arial" w:cs="Arial"/>
        </w:rPr>
        <w:t>i</w:t>
      </w:r>
      <w:r w:rsidRPr="00B36597">
        <w:rPr>
          <w:rFonts w:ascii="Arial" w:hAnsi="Arial" w:cs="Arial"/>
        </w:rPr>
        <w:t>s educativo e preventivo</w:t>
      </w:r>
      <w:r w:rsidR="0002374B">
        <w:rPr>
          <w:rFonts w:ascii="Arial" w:hAnsi="Arial" w:cs="Arial"/>
        </w:rPr>
        <w:t>, buscando-se aumentar o percentual de edificações regularizadas e com alvará do Corpo de Bombeiros, que atualmente gira em torno de 20% no município</w:t>
      </w:r>
      <w:r w:rsidR="002E621E">
        <w:rPr>
          <w:rFonts w:ascii="Arial" w:hAnsi="Arial" w:cs="Arial"/>
        </w:rPr>
        <w:t>, conforme estatística da Diretoria de Segurança Contra Incêndio e Pânico - DSCIP</w:t>
      </w:r>
      <w:r w:rsidRPr="00B36597">
        <w:rPr>
          <w:rFonts w:ascii="Arial" w:hAnsi="Arial" w:cs="Arial"/>
        </w:rPr>
        <w:t>. A regularização das edificações contribui diretamente para a redução de riscos e para a segurança da coletividade.</w:t>
      </w:r>
    </w:p>
    <w:p w14:paraId="63102127" w14:textId="77777777" w:rsidR="00B36597" w:rsidRDefault="00B36597" w:rsidP="00B3659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6597">
        <w:rPr>
          <w:rFonts w:ascii="Arial" w:eastAsia="Times New Roman" w:hAnsi="Arial" w:cs="Arial"/>
          <w:sz w:val="24"/>
          <w:szCs w:val="24"/>
          <w:lang w:eastAsia="pt-BR"/>
        </w:rPr>
        <w:t>Os proprietários e responsáveis por edificações podem procurar a Seção de Segurança Contra Incêndio e Pânico da 7ª CIBM para orientações técnicas e regularização.</w:t>
      </w:r>
    </w:p>
    <w:p w14:paraId="5985B0B1" w14:textId="705918D6" w:rsidR="0087247C" w:rsidRPr="0087247C" w:rsidRDefault="0087247C" w:rsidP="00B3659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87247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Seção de Segurança contra Incêndio e Pânico – SSCIP da 7ª CIBM – Alta Floresta.</w:t>
      </w:r>
    </w:p>
    <w:p w14:paraId="13395622" w14:textId="65C793D3" w:rsidR="00FC6E14" w:rsidRPr="00E01812" w:rsidRDefault="00FC6E14" w:rsidP="00E018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C6E14" w:rsidRPr="00E01812" w:rsidSect="00E0181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A27D9"/>
    <w:multiLevelType w:val="multilevel"/>
    <w:tmpl w:val="D69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17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12"/>
    <w:rsid w:val="0002374B"/>
    <w:rsid w:val="0012419C"/>
    <w:rsid w:val="002E621E"/>
    <w:rsid w:val="00366824"/>
    <w:rsid w:val="004E68B8"/>
    <w:rsid w:val="00583682"/>
    <w:rsid w:val="006641AC"/>
    <w:rsid w:val="006F43F5"/>
    <w:rsid w:val="007024CE"/>
    <w:rsid w:val="007C5141"/>
    <w:rsid w:val="0087247C"/>
    <w:rsid w:val="008B1409"/>
    <w:rsid w:val="008D29C4"/>
    <w:rsid w:val="009039EC"/>
    <w:rsid w:val="00991A0C"/>
    <w:rsid w:val="009D1F89"/>
    <w:rsid w:val="00B36597"/>
    <w:rsid w:val="00B96116"/>
    <w:rsid w:val="00DC0803"/>
    <w:rsid w:val="00E01812"/>
    <w:rsid w:val="00ED4803"/>
    <w:rsid w:val="00F93C99"/>
    <w:rsid w:val="00FC6E14"/>
    <w:rsid w:val="00FD32CF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AABC"/>
  <w15:chartTrackingRefBased/>
  <w15:docId w15:val="{39A253BC-958E-45FD-A923-71C9EDB8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1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8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8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8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81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8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812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8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8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8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1812"/>
    <w:rPr>
      <w:b/>
      <w:bCs/>
    </w:rPr>
  </w:style>
  <w:style w:type="table" w:styleId="Tabelacomgrade">
    <w:name w:val="Table Grid"/>
    <w:basedOn w:val="Tabelanormal"/>
    <w:uiPriority w:val="39"/>
    <w:rsid w:val="009D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8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SSD7-PC01</dc:creator>
  <cp:keywords/>
  <dc:description/>
  <cp:lastModifiedBy>Altair Nery</cp:lastModifiedBy>
  <cp:revision>2</cp:revision>
  <dcterms:created xsi:type="dcterms:W3CDTF">2026-02-26T14:07:00Z</dcterms:created>
  <dcterms:modified xsi:type="dcterms:W3CDTF">2026-02-26T14:07:00Z</dcterms:modified>
</cp:coreProperties>
</file>